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PStG — Standesbeamte</w:t>
      </w:r>
    </w:p>
    <w:p>
      <w:r>
        <w:rPr>
          <w:color w:val="555555"/>
          <w:sz w:val="18"/>
        </w:rPr>
        <w:t xml:space="preserve">Personenstandsgesetz</w:t>
      </w:r>
    </w:p>
    <w:p>
      <w:r>
        <w:rPr>
          <w:color w:val="555555"/>
          <w:sz w:val="18"/>
        </w:rPr>
        <w:t xml:space="preserve">Stand: 01.11.2024 (konsolidierte Textfassung, kein amtliches Inkrafttretensdatum)</w:t>
      </w:r>
    </w:p>
    <w:p>
      <w:r>
        <w:t xml:space="preserve">(1) Beurkundungen und Beglaubigungen für Zwecke des Personenstandswesens werden im Standesamt nur von hierzu bestellten Urkundspersonen (Standesbeamten) vorgenommen. Gleiches gilt für die Ausstellung von Personenstandsurkunden, elektronischen Personenstandsbescheinigungen und sonstigen öffentlichen Urkunden. Die Zuständigkeit der Notare, anderer Urkundspersonen oder sonstiger Stellen für öffentliche Beurkundungen und Beglaubigungen bleibt unberührt.</w:t>
      </w:r>
    </w:p>
    <w:p>
      <w:r>
        <w:t xml:space="preserve">(2) Bei der Wahrnehmung ihrer Aufgaben als Urkundspersonen sind die Standesbeamten nicht an Weisungen gebunden.</w:t>
      </w:r>
    </w:p>
    <w:p>
      <w:r>
        <w:t xml:space="preserve">(3) Zu Standesbeamten dürfen nur nach Ausbildung und Persönlichkeit geeignete Beamte und Angestellte bestellt werden.</w:t>
      </w:r>
    </w:p>
    <w:p>
      <w:r>
        <w:t xml:space="preserve">(4) Die Funktionsbezeichnung Standesbeamter wird in weiblicher oder männlicher Form geführt.</w:t>
      </w:r>
    </w:p>
    <w:p>
      <w:r>
        <w:rPr>
          <w:color w:val="555555"/>
          <w:sz w:val="17"/>
        </w:rPr>
        <w:t xml:space="preserve">Zitiervorschlag: § 2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