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PStG — Anzeige durch Personen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Zur Anzeige sind verpflichtet</w:t>
      </w:r>
    </w:p>
    <w:p>
      <w:pPr>
        <w:ind w:left="420"/>
      </w:pPr>
      <w:r>
        <w:t xml:space="preserve">1. jeder Elternteil des Kindes, wenn er sorgeberechtigt ist,</w:t>
      </w:r>
    </w:p>
    <w:p>
      <w:pPr>
        <w:ind w:left="420"/>
      </w:pPr>
      <w:r>
        <w:t xml:space="preserve">2. jede andere Person, die bei der Geburt zugegen war oder von der Geburt aus eigenem Wissen unterrichtet ist.</w:t>
      </w:r>
    </w:p>
    <w:p>
      <w:r>
        <w:t xml:space="preserve">Eine Anzeigepflicht nach Nummer 2 besteht nur, wenn die sorgeberechtigten Eltern an der Anzeige gehindert oder unbekannten Aufenthalts sind.</w:t>
      </w:r>
    </w:p>
    <w:p>
      <w:r>
        <w:rPr>
          <w:color w:val="555555"/>
          <w:sz w:val="17"/>
        </w:rPr>
        <w:t xml:space="preserve">Zitiervorschlag: § 19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