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PStG — Anzeige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(1) Die Geburt eines Kindes ist dem Standesamt, in dessen Zuständigkeitsbereich es geboren ist, binnen einer Woche anzuzeigen, und zwar</w:t>
      </w:r>
    </w:p>
    <w:p>
      <w:pPr>
        <w:ind w:left="420"/>
      </w:pPr>
      <w:r>
        <w:t xml:space="preserve">1. von den in § 19 Satz 1 genannten Personen mündlich oder schriftlich, oder</w:t>
      </w:r>
    </w:p>
    <w:p>
      <w:pPr>
        <w:ind w:left="420"/>
      </w:pPr>
      <w:r>
        <w:t xml:space="preserve">2. von den in § 20 Satz 1 und 2 genannten Einrichtungen schriftlich.</w:t>
      </w:r>
    </w:p>
    <w:p>
      <w:r>
        <w:t xml:space="preserve">Ist ein Kind tot geboren, so muss die Anzeige spätestens am dritten auf die Geburt folgenden Werktag erstattet werden. In den Fällen des Satzes 1 Nummer 1 haben die anzeigenden Personen die Geburt des Kindes glaubhaft zu machen.</w:t>
      </w:r>
    </w:p>
    <w:p>
      <w:r>
        <w:t xml:space="preserve">(2) Bei einer vertraulichen Geburt nach § 25 Absatz 1 des Schwangerschaftskonfliktgesetzes sind in der Anzeige auch das Pseudonym der Mutter und die für das Kind gewünschten Vornamen anzugeben.</w:t>
      </w:r>
    </w:p>
    <w:p>
      <w:r>
        <w:rPr>
          <w:color w:val="555555"/>
          <w:sz w:val="17"/>
        </w:rPr>
        <w:t xml:space="preserve">Zitiervorschlag: § 18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