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PStG — Fortführung</w:t>
      </w:r>
    </w:p>
    <w:p>
      <w:r>
        <w:rPr>
          <w:color w:val="555555"/>
          <w:sz w:val="18"/>
        </w:rPr>
        <w:t xml:space="preserve">Personenstandsgesetz</w:t>
      </w:r>
    </w:p>
    <w:p>
      <w:r>
        <w:rPr>
          <w:color w:val="555555"/>
          <w:sz w:val="18"/>
        </w:rPr>
        <w:t xml:space="preserve">Stand: 01.11.2024 (konsolidierte Textfassung, kein amtliches Inkrafttretensdatum)</w:t>
      </w:r>
    </w:p>
    <w:p>
      <w:r>
        <w:t xml:space="preserve">(1) Zum Eheeintrag werden Folgebeurkundungen aufgenommen über</w:t>
      </w:r>
    </w:p>
    <w:p>
      <w:pPr>
        <w:ind w:left="420"/>
      </w:pPr>
      <w:r>
        <w:t xml:space="preserve">1. den Tod des erstverstorbenen Ehegatten,</w:t>
      </w:r>
    </w:p>
    <w:p>
      <w:pPr>
        <w:ind w:left="420"/>
      </w:pPr>
      <w:r>
        <w:t xml:space="preserve">2. die Todeserklärung oder die gerichtliche Feststellung der Todeszeit eines Ehegatten und die Aufhebung solcher Beschlüsse sowie die Auflösung der Ehe durch Eheschließung des anderen Ehegatten,</w:t>
      </w:r>
    </w:p>
    <w:p>
      <w:pPr>
        <w:ind w:left="420"/>
      </w:pPr>
      <w:r>
        <w:t xml:space="preserve">3. die Aufhebung oder die Scheidung der Ehe,</w:t>
      </w:r>
    </w:p>
    <w:p>
      <w:pPr>
        <w:ind w:left="420"/>
      </w:pPr>
      <w:r>
        <w:t xml:space="preserve">4. die Feststellung des Nichtbestehens der Ehe,</w:t>
      </w:r>
    </w:p>
    <w:p>
      <w:pPr>
        <w:ind w:left="420"/>
      </w:pPr>
      <w:r>
        <w:t xml:space="preserve">5. jede Änderung des Namens der Ehegatten,</w:t>
      </w:r>
    </w:p>
    <w:p>
      <w:pPr>
        <w:ind w:left="420"/>
      </w:pPr>
      <w:r>
        <w:t xml:space="preserve">6. jede sonstige Änderung des Personenstandes, soweit sie Angaben im Eheeintrag betrifft,</w:t>
      </w:r>
    </w:p>
    <w:p>
      <w:pPr>
        <w:ind w:left="420"/>
      </w:pPr>
      <w:r>
        <w:t xml:space="preserve">7. Berichtigungen.</w:t>
      </w:r>
    </w:p>
    <w:p>
      <w:r>
        <w:t xml:space="preserve">Auf die Wiederverheiratung oder die Begründung einer Lebenspartnerschaft wird hingewiesen.</w:t>
      </w:r>
    </w:p>
    <w:p>
      <w:r>
        <w:t xml:space="preserve">(2) Der Eheeintrag wird nicht mehr fortgeführt, wenn nach Absatz 1 Nummer 4 eine Folgebeurkundung über das Nichtbestehen der Ehe eingetragen worden ist. Wurde zum Eheeintrag eine Folgebeurkundung über die Auflösung der Ehe oder die Todeserklärung oder die gerichtliche Feststellung der Todeszeit eines Ehegatten nach Absatz 1 Nummer 1 bis 3 aufgenommen, ist eine weitere Folgebeurkundung nur über die Änderung des Namens, Berichtigungen sowie in den Fällen des Absatzes 1 Nummer 2 über die Aufhebung eines Beschlusses und die Auflösung der Ehe durch Eheschließung des anderen Ehegatten einzutragen. Die Änderung der Vornamen oder des Geschlechts ist nicht einzutragen, wenn die Änderung nach § 2 Absatz 3 des Gesetzes über die Selbstbestimmung in Bezug auf den Geschlechtseintrag, durch Erklärung nach § 45b oder in einem Adoptionsverfahren erfolgt ist. Für einen Ehegatten, der wieder geheiratet oder eine Lebenspartnerschaft begründet hat, ist nur eine Folgebeurkundung über Berichtigungen nach Absatz 1 Nummer 7 einzutragen.</w:t>
      </w:r>
    </w:p>
    <w:p>
      <w:r>
        <w:rPr>
          <w:color w:val="555555"/>
          <w:sz w:val="17"/>
        </w:rPr>
        <w:t xml:space="preserve">Zitiervorschlag: § 16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