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PStG — Eintragung in das Eheregister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(1) Im Eheregister werden im Anschluss an die Eheschließung beurkundet</w:t>
      </w:r>
    </w:p>
    <w:p>
      <w:pPr>
        <w:ind w:left="420"/>
      </w:pPr>
      <w:r>
        <w:t xml:space="preserve">1. Tag und Ort der Eheschließung,</w:t>
      </w:r>
    </w:p>
    <w:p>
      <w:pPr>
        <w:ind w:left="420"/>
      </w:pPr>
      <w:r>
        <w:t xml:space="preserve">2. die Vornamen und die Familiennamen der Ehegatten, Ort und Tag ihrer Geburt, ihr Geschlecht,</w:t>
      </w:r>
    </w:p>
    <w:p>
      <w:pPr>
        <w:ind w:left="420"/>
      </w:pPr>
      <w:r>
        <w:t xml:space="preserve">3. die nach der Eheschließung geführten Vornamen und Familiennamen der Ehegatten.</w:t>
      </w:r>
    </w:p>
    <w:p>
      <w:r>
        <w:t xml:space="preserve">(2) Zum Eheeintrag wird hingewiesen</w:t>
      </w:r>
    </w:p>
    <w:p>
      <w:pPr>
        <w:ind w:left="420"/>
      </w:pPr>
      <w:r>
        <w:t xml:space="preserve">1. auf die Beurkundung der Geburt der Ehegatten,</w:t>
      </w:r>
    </w:p>
    <w:p>
      <w:pPr>
        <w:ind w:left="420"/>
      </w:pPr>
      <w:r>
        <w:t xml:space="preserve">2. auf die Staatsangehörigkeit der Ehegatten, wenn sie nicht Deutsche sind und ihre ausländische Staatsangehörigkeit nachgewiesen ist,</w:t>
      </w:r>
    </w:p>
    <w:p>
      <w:pPr>
        <w:ind w:left="420"/>
      </w:pPr>
      <w:r>
        <w:t xml:space="preserve">3. auf die Bestimmung eines Ehenamens,</w:t>
      </w:r>
    </w:p>
    <w:p>
      <w:pPr>
        <w:ind w:left="420"/>
      </w:pPr>
      <w:r>
        <w:t xml:space="preserve">4. auf das Sachrecht, dem die Namensführung der Ehegatten unterliegt.</w:t>
      </w:r>
    </w:p>
    <w:p>
      <w:r>
        <w:rPr>
          <w:color w:val="555555"/>
          <w:sz w:val="17"/>
        </w:rPr>
        <w:t xml:space="preserve">Zitiervorschlag: § 15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