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PSA-DG — Strafvorschriften</w:t>
      </w:r>
    </w:p>
    <w:p>
      <w:r>
        <w:rPr>
          <w:color w:val="555555"/>
          <w:sz w:val="18"/>
        </w:rPr>
        <w:t xml:space="preserve">PSA-Durchführungsgesetz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Mit Freiheitsstrafe bis zu einem Jahr oder mit Geldstrafe wird bestraft, wer eine in § 8 Absatz 1 Nummer 6, 11, 13, 17 oder 18 bezeichnete vorsätzliche Handlung beharrlich wiederholt oder durch eine solche vorsätzliche Handlung Leben oder Gesundheit eines Anderen oder fremde Sachen von bedeutendem Wert gefährdet.</w:t>
      </w:r>
    </w:p>
    <w:p>
      <w:r>
        <w:rPr>
          <w:color w:val="555555"/>
          <w:sz w:val="17"/>
        </w:rPr>
        <w:t xml:space="preserve">Zitiervorschlag: § 9 PSA-DG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https://recht.nulegal.eu/gesetze/PSA-DG/9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