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PRV — Einteilung und Gestaltung des Registers</w:t>
      </w:r>
    </w:p>
    <w:p>
      <w:r>
        <w:rPr>
          <w:color w:val="555555"/>
          <w:sz w:val="18"/>
        </w:rPr>
        <w:t xml:space="preserve">Partnerschaftsregisterverordnung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Jede Partnerschaft ist unter einer fortlaufenden Nummer (Registerblatt) in das Register einzutragen. Das Register wird nach dem beigegebenen Muster in Anlage 1 geführt.</w:t>
      </w:r>
    </w:p>
    <w:p>
      <w:r>
        <w:t xml:space="preserve">(2) Bei der Führung des Registers sind die beigegebenen Muster (Anlagen 1 bis 3) zu verwenden.</w:t>
      </w:r>
    </w:p>
    <w:p>
      <w:r>
        <w:rPr>
          <w:color w:val="555555"/>
          <w:sz w:val="17"/>
        </w:rPr>
        <w:t xml:space="preserve">Zitiervorschlag: § 2 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