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PRV — Anwendbares Recht</w:t>
      </w:r>
    </w:p>
    <w:p>
      <w:r>
        <w:rPr>
          <w:color w:val="555555"/>
          <w:sz w:val="18"/>
        </w:rPr>
        <w:t xml:space="preserve">Partnerschaftsregisterverordnung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Einrichtung und Führung des Partnerschaftsregisters bestimmen sich nach den Vorschriften der Handelsregisterverordnung, soweit nicht nachfolgend etwas anderes vorgeschrieben ist.</w:t>
      </w:r>
    </w:p>
    <w:p>
      <w:r>
        <w:t xml:space="preserve">(2) Dabei steht die Partnerschaft einer offenen Handelsgesellschaft gleich; an die Stelle der persönlich haftenden Gesellschafter treten die Partner, an die Stelle der Firma der offenen Handelsgesellschaft tritt der Name der Partnerschaft.</w:t>
      </w:r>
    </w:p>
    <w:p>
      <w:r>
        <w:rPr>
          <w:color w:val="555555"/>
          <w:sz w:val="17"/>
        </w:rPr>
        <w:t xml:space="preserve">Zitiervorschlag: § 1 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