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PPDAV — Anwendungsbereich und Verfahrensgrundsätze</w:t>
      </w:r>
    </w:p>
    <w:p>
      <w:r>
        <w:rPr>
          <w:color w:val="555555"/>
          <w:sz w:val="18"/>
        </w:rPr>
        <w:t xml:space="preserve">Pass-, Personalausweis- und eID-Karte-Datenabrufverordnung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Diese Verordnung regelt die Voraussetzungen für</w:t>
      </w:r>
    </w:p>
    <w:p>
      <w:pPr>
        <w:ind w:left="420"/>
      </w:pPr>
      <w:r>
        <w:t xml:space="preserve">1. automatisierte Abrufe des Lichtbilds aus dem Pass- oder dem Personalausweisregister durch die in § 22a Absatz 2 Satz 1, 3 und 5 des Passgesetzes sowie in § 25 Absatz 2 Satz 1, 2 und 4 des Personalausweisgesetzes genannten Behörden bei der ausstellenden Pass- oder Personalausweisbehörde,</w:t>
      </w:r>
    </w:p>
    <w:p>
      <w:pPr>
        <w:ind w:left="420"/>
      </w:pPr>
      <w:r>
        <w:t xml:space="preserve">2. automatisierte Abrufe des Lichtbildes bei einem zentralen Passregister- oder Personalausweisregisterbestand, sofern ein Land von der Regelungsbefugnis des § 27a des Passgesetzes oder des § 34a des Personalausweisgesetzes Gebrauch gemacht hat,</w:t>
      </w:r>
    </w:p>
    <w:p>
      <w:pPr>
        <w:ind w:left="420"/>
      </w:pPr>
      <w:r>
        <w:t xml:space="preserve">3. automatisierte Abrufe des Lichtbilds und der Unterschrift aus dem Pass- oder Personalausweisregister durch die in § 22a Absatz 2 Satz 6 des Passgesetzes sowie in § 25 Absatz 2 Satz 5 des Personalausweisgesetzes genannten Behörden bei der ausstellenden Pass- oder Personalausweisbehörde,</w:t>
      </w:r>
    </w:p>
    <w:p>
      <w:pPr>
        <w:ind w:left="420"/>
      </w:pPr>
      <w:r>
        <w:t xml:space="preserve">4. automatisierte Abrufe des Lichtbilds und der Unterschrift bei einem zentralen Passregister- oder Personalausweisregisterbestand, sofern ein Land von der Regelungsbefugnis des § 27a des Passgesetzes oder des § 34a des Personalausweisgesetzes Gebrauch gemacht hat,</w:t>
      </w:r>
    </w:p>
    <w:p>
      <w:pPr>
        <w:ind w:left="420"/>
      </w:pPr>
      <w:r>
        <w:t xml:space="preserve">5. automatisierte Abrufe sowie automatisierte Mitteilungen einer Pass-, Personalausweis- oder eID-Karte-Behörde gegenüber einer anderen Pass-, Personalausweis- oder eID-Karte-Behörde nach § 24 Absatz 1a des Personalausweisgesetzes, nach § 22 Absatz 1a des Passgesetzes oder nach § 19a des eID-Karte-Gesetzes.</w:t>
      </w:r>
    </w:p>
    <w:p>
      <w:r>
        <w:t xml:space="preserve">(2) Automatisierte Abrufe nach Absatz 1 Nummer 1 bis 4 erfolgen im synchronen Verfahren. Automatisierte Abrufe sowie automatisierte Mitteilungen nach Absatz 1 Nummer 5 können im synchronen oder im asynchronen Verfahren erfolgen.</w:t>
      </w:r>
    </w:p>
    <w:p>
      <w:r>
        <w:rPr>
          <w:color w:val="555555"/>
          <w:sz w:val="17"/>
        </w:rPr>
        <w:t xml:space="preserve">Zitiervorschlag: § 1 PPDAV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https://recht.nulegal.eu/gesetze/PPDAV/1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