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POWiZV (Brandenburg)</w:t>
      </w:r>
    </w:p>
    <w:p>
      <w:r>
        <w:rPr>
          <w:color w:val="555555"/>
          <w:sz w:val="18"/>
        </w:rPr>
        <w:t xml:space="preserve">Verordnung zur Übertragung von Zuständigkeiten nach dem Preisangabengesetz und dem Gesetz über Ordnungswidrigkeiten bei Verstößen gegen das Gesetz zur Regelung der Wohnungsvermittlung, das Wirtschaftsstrafgesetz 1954 und die Preisangabenverordnung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Befugnis, Auskünfte nach § 2 Abs. 1 des</w:t>
      </w:r>
    </w:p>
    <w:p>
      <w:r>
        <w:t xml:space="preserve">Preisangabengesetzes zu verlangen, wird auf die in § 1 genannten</w:t>
      </w:r>
    </w:p>
    <w:p>
      <w:r>
        <w:t xml:space="preserve">Behörden übertragen.</w:t>
      </w:r>
    </w:p>
    <w:p>
      <w:r>
        <w:rPr>
          <w:color w:val="555555"/>
          <w:sz w:val="17"/>
        </w:rPr>
        <w:t xml:space="preserve">Zitiervorschlag: § 2 POWiZV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https://recht.nulegal.eu/gesetze/POWiZV/2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