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POSozKV (Bayern) — Bewertung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schriftlichen Prüfungsleistungen sind von jeweils zwei Mitgliedern des Prüfungsausschusses nacheinander und selbstständig zu bewerten.</w:t>
      </w:r>
    </w:p>
    <w:p>
      <w:r>
        <w:t xml:space="preserve">(2) Die Leistungen in der mündlichen Prüfung sind von den Mitgliedern des jeweiligen Prüfungsausschusses zu bewerten.</w:t>
      </w:r>
    </w:p>
    <w:p>
      <w:r>
        <w:t xml:space="preserve">(3) § 17 Abs. 2 und 3 gilt entsprechend. Bemerkungen und Bewertungen sind nicht in der Prüfungsarbeit, sondern auf einer besonderen Anlage vorzunehmen, die zu den Prüfungsunterlagen gehört.</w:t>
      </w:r>
    </w:p>
    <w:p>
      <w:r>
        <w:t xml:space="preserve">(4) Zur Ermittlung der durchschnittlichen Punktzahl für jedes Prüfungsfach sowie für die mündliche Prüfung ist jeweils die Summe der erzielten Punkte durch die Zahl der Prüfer bzw. Prüferinnen zu dividieren. § 17 Abs. 4 Satz 2 gilt entsprechend.</w:t>
      </w:r>
    </w:p>
    <w:p>
      <w:r>
        <w:rPr>
          <w:color w:val="555555"/>
          <w:sz w:val="17"/>
        </w:rPr>
        <w:t xml:space="preserve">Zitiervorschlag: § 28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