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POP-Abfall-ÜberwV — Nachweispflichten</w:t>
      </w:r>
    </w:p>
    <w:p>
      <w:r>
        <w:rPr>
          <w:color w:val="555555"/>
          <w:sz w:val="18"/>
        </w:rPr>
        <w:t xml:space="preserve">POP-Abfall-Überwachungs-Verordnung</w:t>
      </w:r>
    </w:p>
    <w:p>
      <w:r>
        <w:rPr>
          <w:color w:val="555555"/>
          <w:sz w:val="18"/>
        </w:rPr>
        <w:t xml:space="preserve">Stand: 06.05.2022 (konsolidierte Textfassung, kein amtliches Inkrafttretensdatum)</w:t>
      </w:r>
    </w:p>
    <w:p>
      <w:r>
        <w:t xml:space="preserve">(1) Erzeuger, Besitzer, Sammler, Beförderer und Entsorger von POP-haltigen Abfällen haben sowohl der zuständigen Behörde gegenüber als auch untereinander die ordnungsgemäße Entsorgung der Abfälle gemäß Satz 2 nachzuweisen. Der Nachweis wird geführt</w:t>
      </w:r>
    </w:p>
    <w:p>
      <w:pPr>
        <w:ind w:left="420"/>
      </w:pPr>
      <w:r>
        <w:t xml:space="preserve">1. vor Beginn der Entsorgung in Form einer Erklärung des Erzeugers, Besitzers, Sammlers oder Beförderers von POP-haltigen Abfällen zur vorgesehenen Entsorgung, einer Annahmeerklärung des Entsorgers von Abfällen sowie der Bestätigung der Zulässigkeit der vorgesehenen Entsorgung durch die zuständige Behörde und</w:t>
      </w:r>
    </w:p>
    <w:p>
      <w:pPr>
        <w:ind w:left="420"/>
      </w:pPr>
      <w:r>
        <w:t xml:space="preserve">2. über die durchgeführte Entsorgung oder Teilabschnitte der Entsorgung in Form von Erklärungen der nach Satz 1 Verpflichteten über den Verbleib der entsorgten POP-haltigen Abfälle; die Erklärungen sind jeweils unverzüglich nach Durchführung des jeweiligen Teilabschnitts der Entsorgung abzugeben.</w:t>
      </w:r>
    </w:p>
    <w:p>
      <w:r>
        <w:t xml:space="preserve">Die Teile 2 und 4 der Nachweisverordnung vom 20. Oktober 2006 (BGBl. I S. 2298), die zuletzt durch Artikel 7 der Verordnung vom 2. Dezember 2016 (BGBl. I S. 2770) geändert worden ist, in der jeweils geltenden Fassung gelten mit Ausnahme von § 9 Absatz 1 Satz 1 Nummer 4 der Nachweisverordnung entsprechend.</w:t>
      </w:r>
    </w:p>
    <w:p>
      <w:r>
        <w:t xml:space="preserve">(2) Die Nachweispflichten nach Absatz 1 gelten nicht für die Entsorgung von POP-haltigen Abfällen, welche die Erzeuger oder Besitzer in eigenen Entsorgungsanlagen entsorgen, wenn diese Entsorgungsanlagen in einem engen räumlichen und betrieblichen Zusammenhang mit den Anlagen oder Stellen stehen, in denen die zu entsorgenden Abfälle angefallen sind.</w:t>
      </w:r>
    </w:p>
    <w:p>
      <w:r>
        <w:t xml:space="preserve">(3) Die Nachweispflichten nach Absatz 1 gelten nicht bis zum Abschluss der Rücknahme oder Rückgabe von Erzeugnissen oder von nach Gebrauch dieser Erzeugnisse verbleibenden POP-haltigen Abfällen nach § 2 Nummer 1, wenn die Erzeugnisse oder Abfälle einer gesetzlichen oder verordneten Rücknahme oder Rückgabe unterliegen. Eine Rücknahme oder Rückgabe von Erzeugnissen und der nach Gebrauch der Erzeugnisse verbleibenden Abfälle gilt spätestens mit der Annahme an einer Anlage zur weiteren Entsorgung, ausgenommen Anlagen zur Zwischenlagerung der Abfälle, als abgeschlossen, soweit kein früherer Zeitpunkt bestimmt ist. Im Fall einer freiwilligen Rücknahme gilt § 26a Absatz 1 bis 4 des Kreislaufwirtschaftsgesetzes entsprechend.</w:t>
      </w:r>
    </w:p>
    <w:p>
      <w:r>
        <w:t xml:space="preserve">(4) Die Nachweispflichten nach Absatz 1 gelten nicht für die Überlassung von Altgeräten nach § 3 Nummer 3 des Elektro- und Elektronikgerätegesetzes vom 20. Oktober 2015 (BGBl. I S. 1739), das zuletzt durch Artikel 6 Absatz 11 des Gesetzes vom 13. April 2017 (BGBl. I S. 872) geändert worden ist, in der jeweils geltenden Fassung an Einrichtungen zur Erfassung und Erstbehandlung.</w:t>
      </w:r>
    </w:p>
    <w:p>
      <w:r>
        <w:t xml:space="preserve">(5) In den Fällen der Absätze 2 bis 4 bleiben die Registerpflichten nach § 5 dieser Verordnung und nach § 49 des Kreislaufwirtschaftsgesetzes unberührt.</w:t>
      </w:r>
    </w:p>
    <w:p>
      <w:r>
        <w:t xml:space="preserve">(6) Die Nachweispflichten nach Absatz 1 gelten nicht für private Haushaltungen.</w:t>
      </w:r>
    </w:p>
    <w:p>
      <w:r>
        <w:rPr>
          <w:color w:val="555555"/>
          <w:sz w:val="17"/>
        </w:rPr>
        <w:t xml:space="preserve">Zitiervorschlag: § 4 POP-Abfall-ÜberwV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https://recht.nulegal.eu/gesetze/POP-Abfall-%C3%9CberwV/4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POP-Abfall-ÜberwV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