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POP-Abfall-ÜberwV — Getrennte Sammlung und Beförderung; Vermischungsverbot</w:t>
      </w:r>
    </w:p>
    <w:p>
      <w:r>
        <w:rPr>
          <w:color w:val="555555"/>
          <w:sz w:val="18"/>
        </w:rPr>
        <w:t xml:space="preserve">POP-Abfall-Überwachungs-Verordnung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Erzeuger und Besitzer von POP-haltigen Abfällen haben diese getrennt von anderen Abfällen zu sammeln und zu befördern, soweit dies zur Erfüllung der Anforderungen nach § 7 Absatz 2 bis 4 und § 8 Absatz 1 oder nach § 15 Absatz 1 und 2 des Kreislaufwirtschaftsgesetzes erforderlich ist.</w:t>
      </w:r>
    </w:p>
    <w:p>
      <w:r>
        <w:t xml:space="preserve">(2) Soweit die getrennte Sammlung nach Absatz 1 erforderlich ist, ist die Vermischung, einschließlich der Verdünnung, von POP-haltigen Abfällen mit anderen Abfällen, Stoffen oder Materialien unzulässig.</w:t>
      </w:r>
    </w:p>
    <w:p>
      <w:r>
        <w:t xml:space="preserve">(3) Abweichend von Absatz 2 ist eine Vermischung zulässig, wenn</w:t>
      </w:r>
    </w:p>
    <w:p>
      <w:pPr>
        <w:ind w:left="420"/>
      </w:pPr>
      <w:r>
        <w:t xml:space="preserve">1. sie in einer hierfür zugelassenen Anlage erfolgt,</w:t>
      </w:r>
    </w:p>
    <w:p>
      <w:pPr>
        <w:ind w:left="420"/>
      </w:pPr>
      <w:r>
        <w:t xml:space="preserve">2. sichergestellt ist, dass das gesamte entstehende Gemisch nach § 7 Absatz 3 des Kreislaufwirtschaftsgesetzes ordnungsgemäß und schadlos verwertet oder nach § 15 Absatz 2 des Kreislaufwirtschaftsgesetzes gemeinwohlverträglich beseitigt wird sowie</w:t>
      </w:r>
    </w:p>
    <w:p>
      <w:pPr>
        <w:ind w:left="420"/>
      </w:pPr>
      <w:r>
        <w:t xml:space="preserve">3. das Vermischungsverfahren dem Stand der Technik entspricht.</w:t>
      </w:r>
    </w:p>
    <w:p>
      <w:r>
        <w:t xml:space="preserve">(4) Soweit POP-haltige Abfälle in unzulässiger Weise vermischt worden sind, sind diese zu trennen,</w:t>
      </w:r>
    </w:p>
    <w:p>
      <w:pPr>
        <w:ind w:left="420"/>
      </w:pPr>
      <w:r>
        <w:t xml:space="preserve">1. soweit dies erforderlich ist, um</w:t>
      </w:r>
    </w:p>
    <w:p>
      <w:pPr>
        <w:ind w:left="780"/>
      </w:pPr>
      <w:r>
        <w:t xml:space="preserve">a) eine ordnungsgemäße und schadlose Verwertung nach § 7 Absatz 3 des Kreislaufwirtschaftsgesetzes oder</w:t>
      </w:r>
    </w:p>
    <w:p>
      <w:pPr>
        <w:ind w:left="780"/>
      </w:pPr>
      <w:r>
        <w:t xml:space="preserve">b) eine gemeinwohlverträgliche Beseitigung nach § 15 Absatz 2 des Kreislaufwirtschaftsgesetzes</w:t>
      </w:r>
    </w:p>
    <w:p>
      <w:pPr>
        <w:ind w:left="420"/>
      </w:pPr>
      <w:r>
        <w:t xml:space="preserve">sicherzustellen, und</w:t>
      </w:r>
    </w:p>
    <w:p>
      <w:pPr>
        <w:ind w:left="420"/>
      </w:pPr>
      <w:r>
        <w:t xml:space="preserve">2. die Trennung technisch möglich und wirtschaftlich zumutbar ist.</w:t>
      </w:r>
    </w:p>
    <w:p>
      <w:r>
        <w:rPr>
          <w:color w:val="555555"/>
          <w:sz w:val="17"/>
        </w:rPr>
        <w:t xml:space="preserve">Zitiervorschlag: § 3 POP-Abfall-ÜberwV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https://recht.nulegal.eu/gesetze/POP-Abfall-%C3%9CberwV/3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