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POG (Bayern) — Landespolizei, Verordnungsermächtigung</w:t>
      </w:r>
    </w:p>
    <w:p>
      <w:r>
        <w:rPr>
          <w:color w:val="555555"/>
          <w:sz w:val="18"/>
        </w:rPr>
        <w:t xml:space="preserve">Polizeiorganisationsgesetz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Bayerische Landespolizei wird im gesamten Staatsgebiet für alle der Polizei obliegenden Aufgaben eingesetzt, soweit nicht besondere örtliche und sachliche Dienstbereiche anderen Teilen der Polizei zugewiesen sind.</w:t>
      </w:r>
    </w:p>
    <w:p>
      <w:r>
        <w:t xml:space="preserve">(2) Die Landespolizei gliedert sich in</w:t>
      </w:r>
    </w:p>
    <w:p>
      <w:r>
        <w:t xml:space="preserve">1. Präsidien, die dem Staatsministerium unmittelbar nachgeordnet sind,</w:t>
      </w:r>
    </w:p>
    <w:p>
      <w:r>
        <w:t xml:space="preserve">2. Inspektionen und Kriminalfachdezernate, die den Präsidien unmittelbar nachgeordnet sind, und</w:t>
      </w:r>
    </w:p>
    <w:p>
      <w:r>
        <w:t xml:space="preserve">3. soweit erforderlich, den Inspektionen unmittelbar nachgeordnete Stationen.</w:t>
      </w:r>
    </w:p>
    <w:p>
      <w:r>
        <w:t xml:space="preserve">Für bestimmte sachliche Dienstbereiche können besondere Inspektionen und Stationen der Landespolizei errichtet werden.</w:t>
      </w:r>
    </w:p>
    <w:p>
      <w:r>
        <w:t xml:space="preserve">(3) Das Staatsministerium errichtet durch Rechtsverordnung die einzelnen Dienststellen der Landespolizei und bestimmt dabei insbesondere Bezeichnung, Sitz und Nachordnung.</w:t>
      </w:r>
    </w:p>
    <w:p>
      <w:r>
        <w:rPr>
          <w:color w:val="555555"/>
          <w:sz w:val="17"/>
        </w:rPr>
        <w:t xml:space="preserve">Zitiervorschlag: Art 4 POG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