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POG (Bayern) — Inkrafttreten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Oktober 1976 in Kraft.</w:t>
      </w:r>
    </w:p>
    <w:p>
      <w:r>
        <w:t xml:space="preserve">(2) Abweichend von Abs. 1 treten Art. 4 Abs. 3, Art. 5 Abs. 2 und 4, Art. 6 Abs. 5 und Art. 10 Abs. 1 am 1. September 1976 in Kraft.</w:t>
      </w:r>
    </w:p>
    <w:p>
      <w:r>
        <w:t xml:space="preserve">[Amtl. Anm.:] Betrifft die ursprüngliche Fassung vom 10. August 1976 (GVBl. S. 303).</w:t>
      </w:r>
    </w:p>
    <w:p>
      <w:r>
        <w:rPr>
          <w:color w:val="555555"/>
          <w:sz w:val="17"/>
        </w:rPr>
        <w:t xml:space="preserve">Zitiervorschlag: Art 16 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