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POG NRW (Nordrhein-Westfalen) — Sachliche Zuständigkeit der Kreispolizeibehörden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Kreispolizeibehörden sind zuständig</w:t>
      </w:r>
    </w:p>
    <w:p>
      <w:r>
        <w:t xml:space="preserve">1. für die Gefahrenabwehr insbesondere nach dem Polizeigesetz des Landes Nordrhein-Westfalen,</w:t>
      </w:r>
    </w:p>
    <w:p>
      <w:r>
        <w:t xml:space="preserve">2. für die Erforschung und Verfolgung von Straftaten und Ordnungswidrigkeiten; die Wasserschutzpolizei insoweit nach Maßgabe einer vom Innenministerium zu erlassenden Rechtsverordnung,</w:t>
      </w:r>
    </w:p>
    <w:p>
      <w:r>
        <w:t xml:space="preserve">3. für die Überwachung des Straßenverkehrs.</w:t>
      </w:r>
    </w:p>
    <w:p>
      <w:r>
        <w:t xml:space="preserve">(2) Die Wasserschutzpolizei ist darüber hinaus zuständig für die Überwachung des Verkehrs auf den schiffbaren Wasserstraßen und Gewässern.</w:t>
      </w:r>
    </w:p>
    <w:p>
      <w:r>
        <w:rPr>
          <w:color w:val="555555"/>
          <w:sz w:val="17"/>
        </w:rPr>
        <w:t xml:space="preserve">Zitiervorschlag: § 11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