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POEich (Bayern) — Prüfungsaufgaben</w:t>
      </w:r>
    </w:p>
    <w:p>
      <w:r>
        <w:rPr>
          <w:color w:val="555555"/>
          <w:sz w:val="18"/>
        </w:rPr>
        <w:t xml:space="preserve">Prüfungsordnung eichtechnischer 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Beim schriftlichen Teil der Prüfung für den mittleren eichtechnischen Dienst werden insgesamt sechs Aufgaben mit einer Bearbeitungszeit von je zwei Stunden gestellt.</w:t>
      </w:r>
    </w:p>
    <w:p>
      <w:r>
        <w:t xml:space="preserve">(2) Beim schriftlichen Teil der Prüfung für den gehobenen eichtechnischen Dienst werden insgesamt neun Aufgaben mit einer Bearbeitungszeit von je zwei Stunden gestellt.</w:t>
      </w:r>
    </w:p>
    <w:p>
      <w:r>
        <w:t xml:space="preserve">(3) Bei jeder Aufgabe sind die Zeit, in der sie zu lösen ist, und die Hilfsmittel, die benutzt werden dürfen, anzugeben.</w:t>
      </w:r>
    </w:p>
    <w:p>
      <w:r>
        <w:rPr>
          <w:color w:val="555555"/>
          <w:sz w:val="17"/>
        </w:rPr>
        <w:t xml:space="preserve">Zitiervorschlag: § 9 POEich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https://recht.nulegal.eu/gesetze/POEich/9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