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POEich (Bayern) — Aufgaben des Prüfungsausschusses</w:t>
      </w:r>
    </w:p>
    <w:p>
      <w:r>
        <w:rPr>
          <w:color w:val="555555"/>
          <w:sz w:val="18"/>
        </w:rPr>
        <w:t xml:space="preserve">Prüfungsordnung eichtechnischer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vorsitzende Mitglied des Prüfungsausschusses hat folgende Aufgaben:</w:t>
      </w:r>
    </w:p>
    <w:p>
      <w:r>
        <w:t xml:space="preserve">1. es trifft die vorbereitenden Maßnahmen zur Durchführung der Prüfung,</w:t>
      </w:r>
    </w:p>
    <w:p>
      <w:r>
        <w:t xml:space="preserve">2. es wählt die Prüfungsaufgaben aus, die von den Beisitzenden oder den von ihm Beauftragten entworfen werden, es kann die Aufgabenentwürfe ändern oder gegebenenfalls andere Entwürfe anfordern,</w:t>
      </w:r>
    </w:p>
    <w:p>
      <w:r>
        <w:t xml:space="preserve">3. es sorgt für die vertrauliche Behandlung der ausgewählten Prüfungsaufgaben,</w:t>
      </w:r>
    </w:p>
    <w:p>
      <w:r>
        <w:t xml:space="preserve">4. es bestimmt die zugelassenen Hilfsmittel,</w:t>
      </w:r>
    </w:p>
    <w:p>
      <w:r>
        <w:t xml:space="preserve">5. es verwahrt das Verzeichnis der ausgelosten Arbeitsplatznummern (§ 10 Abs. 1) oder der Prüfungsnummern (§ 10 Abs. 2),</w:t>
      </w:r>
    </w:p>
    <w:p>
      <w:r>
        <w:t xml:space="preserve">6. es sorgt für die Überwachung des schriftlichen Teils der Prüfung durch von ihm beauftragte Aufsichtspersonen (§ 12) und stellt sicher, dass während der Prüfung eine fachkompetente Person, insbesondere der/die Entwurfsverfasser/ in einer Prüfungsaufgabe, erreichbar ist,</w:t>
      </w:r>
    </w:p>
    <w:p>
      <w:r>
        <w:t xml:space="preserve">7. es entscheidet über Maßnahmen zum Nachteilsausgleich im Rahmen der Prüfung (§ 29),</w:t>
      </w:r>
    </w:p>
    <w:p>
      <w:r>
        <w:t xml:space="preserve">8. es hat den Stichentscheid (§ 14 Abs. 2) zu treffen,</w:t>
      </w:r>
    </w:p>
    <w:p>
      <w:r>
        <w:t xml:space="preserve">9. es überwacht die Berechnung der Gesamtprüfungsnoten und stellt die Platzziffern fest, die die Prüfungsteilnehmenden in der Prüfung erzielt haben (§§ 19, 20),</w:t>
      </w:r>
    </w:p>
    <w:p>
      <w:r>
        <w:t xml:space="preserve">10. es bestimmt die Zeit, innerhalb der die fehlenden Prüfungsteile nachzuholen sind (§ 24),</w:t>
      </w:r>
    </w:p>
    <w:p>
      <w:r>
        <w:t xml:space="preserve">11. es unterzeichnet die Prüfungszeugnisse (§ 22 Abs. 2),</w:t>
      </w:r>
    </w:p>
    <w:p>
      <w:r>
        <w:t xml:space="preserve">12. es stellt die sachgemäße Verwahrung der Prüfungsakten sicher.</w:t>
      </w:r>
    </w:p>
    <w:p>
      <w:r>
        <w:t xml:space="preserve">(2) Der Prüfungsausschuss hat insbesondere folgende Aufgaben:</w:t>
      </w:r>
    </w:p>
    <w:p>
      <w:r>
        <w:t xml:space="preserve">1. er bestimmt die Prüfenden für die Bewertung der schriftlichen Prüfungsarbeiten (§ 14 Abs. 1),</w:t>
      </w:r>
    </w:p>
    <w:p>
      <w:r>
        <w:t xml:space="preserve">2. er nimmt den mündlichen Teil der Prüfung (§ 16 Abs. 1) ab,</w:t>
      </w:r>
    </w:p>
    <w:p>
      <w:r>
        <w:t xml:space="preserve">3. er stellt fest, ob Prüfungsteilnehmende eine Verhinderung nicht zu vertreten haben (§ 24 Abs. 3),</w:t>
      </w:r>
    </w:p>
    <w:p>
      <w:r>
        <w:t xml:space="preserve">4. er entscheidet über das Vorliegen und die Folgen von Rücktritt und Versäumnis (§ 23) sowie von Täuschungs- und Beeinflussungsversuchen (§ 26),</w:t>
      </w:r>
    </w:p>
    <w:p>
      <w:r>
        <w:t xml:space="preserve">5. er gibt Beurteilungen ab (§ 22 Abs. 5),</w:t>
      </w:r>
    </w:p>
    <w:p>
      <w:r>
        <w:t xml:space="preserve">6. er entscheidet über Anträge gemäß § 30 Abs. 2,</w:t>
      </w:r>
    </w:p>
    <w:p>
      <w:r>
        <w:t xml:space="preserve">7. er entscheidet über Anträge gemäß § 14 Abs. 6 und legt die zur Ermittlung der Gesamtnote des schriftlichen Teils der Prüfung noch zu erbringenden schriftlichen Prüfungsleistungen fest.</w:t>
      </w:r>
    </w:p>
    <w:p>
      <w:r>
        <w:rPr>
          <w:color w:val="555555"/>
          <w:sz w:val="17"/>
        </w:rPr>
        <w:t xml:space="preserve">Zitiervorschlag: § 6 POEich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https://recht.nulegal.eu/gesetze/POEich/6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