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POEich (Bayern) — Nichtbestehen des schriftlichen Teils der Prüfung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schriftlichen Teil der Prüfung hat nicht bestanden, wer</w:t>
      </w:r>
    </w:p>
    <w:p>
      <w:r>
        <w:t xml:space="preserve">1. im Durchschnitt eine schlechtere Gesamtnote als „ausreichend“ (Note 4,00) oder</w:t>
      </w:r>
    </w:p>
    <w:p>
      <w:r>
        <w:t xml:space="preserve">2. in den Aufgaben aus dem Prüfungsstoff nach § 8 Abs. 1 Nr. 3 im Durchschnitt eine schlechtere Note als „ausreichend“ (Note 4,00) oder</w:t>
      </w:r>
    </w:p>
    <w:p>
      <w:r>
        <w:t xml:space="preserve">3. in mehr als einer Aufgabe aus dem übrigen Prüfungsstoff eine schlechtere Note als „ausreichend“ (Note 4,00) erzielt.</w:t>
      </w:r>
    </w:p>
    <w:p>
      <w:r>
        <w:t xml:space="preserve">(2) Wer den schriftlichen Teil der Prüfung nicht bestanden hat, ist vom mündlichen Teil der Prüfung ausgeschlossen.</w:t>
      </w:r>
    </w:p>
    <w:p>
      <w:r>
        <w:rPr>
          <w:color w:val="555555"/>
          <w:sz w:val="17"/>
        </w:rPr>
        <w:t xml:space="preserve">Zitiervorschlag: § 15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