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PO-StrW (Bayern) — Feststellung der Zulassungsvoraussetzungen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Auszubildende beantragt bei seiner Ausbildungsstelle unter Vorlage des Berichtsheftes die Zulassung zur Prüfung. Die Zulassung nach § 40 Abs. 2 BBiG wird bei der Beschäftigungsbehörde beantragt; an Stelle des Berichtsheftes ist ein Tätigkeitsbericht vorzulegen, aus dem der zeitliche Umfang berufsbezogener Beschäftigung hervorgeht.</w:t>
      </w:r>
    </w:p>
    <w:p>
      <w:r>
        <w:t xml:space="preserve">(2) Die Dienststelle trifft die Feststellung, ob die Zulassungsvoraussetzungen erfüllt sind. Mit der Feststellung der Erfüllung der Zulassungsvoraussetzungen gelten die Prüfungsbewerber als zur Prüfung zugelassen im Sinn des § 39 Abs. 2 BBiG.</w:t>
      </w:r>
    </w:p>
    <w:p>
      <w:r>
        <w:t xml:space="preserve">(3) Hält die Dienststelle die Zulassungsvoraussetzungen nicht für gegeben, so entscheidet über den Antrag der Prüfungsausschuss.</w:t>
      </w:r>
    </w:p>
    <w:p>
      <w:r>
        <w:rPr>
          <w:color w:val="555555"/>
          <w:sz w:val="17"/>
        </w:rPr>
        <w:t xml:space="preserve">Zitiervorschlag: § 5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