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PO-StrW (Bayern) — In-Kraft-Treten, Außer-Kraft-Treten, Übergangsregelung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Dezember 2004 in Kraft.</w:t>
      </w:r>
    </w:p>
    <w:p>
      <w:r>
        <w:t xml:space="preserve">(2) Mit Ablauf des 30. November 2004 tritt die Prüfungsordnung für die Durchführung der Abschluss- und Zwischenprüfung im Ausbildungsberuf Straßenwärter in Bayern (PO-StrW) vom 15. März 1984 (GVBl S. 106, BayRS 800-21-22-I) außer Kraft.</w:t>
      </w:r>
    </w:p>
    <w:p>
      <w:r>
        <w:t xml:space="preserve">(3) Auf Berufsausbildungsverhältnisse, die vor dem 1. August 2002 bestanden haben, sind die bisherigen Prüfungsvorschriften weiter anzuwenden.</w:t>
      </w:r>
    </w:p>
    <w:p>
      <w:r>
        <w:rPr>
          <w:color w:val="555555"/>
          <w:sz w:val="17"/>
        </w:rPr>
        <w:t xml:space="preserve">Zitiervorschlag: § 20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