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PO-SozVersFW (Bayern) — Täuschungshandlungen und Ordnungsverstöße</w:t>
      </w:r>
    </w:p>
    <w:p>
      <w:r>
        <w:rPr>
          <w:color w:val="555555"/>
          <w:sz w:val="18"/>
        </w:rPr>
        <w:t xml:space="preserve">Sozialversicherungsfachwirt-Prüfungsordnung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35 APO gilt mit der Maßgabe, dass</w:t>
      </w:r>
    </w:p>
    <w:p>
      <w:r>
        <w:t xml:space="preserve">1. die Entscheidung über Vorliegen und Folgen der Prüfungsausschuss für gemeinsame Aufgaben trifft und</w:t>
      </w:r>
    </w:p>
    <w:p>
      <w:r>
        <w:t xml:space="preserve">2. in minder schweren Fällen von einer Ahndung abgesehen werden kann.</w:t>
      </w:r>
    </w:p>
    <w:p>
      <w:r>
        <w:rPr>
          <w:color w:val="555555"/>
          <w:sz w:val="17"/>
        </w:rPr>
        <w:t xml:space="preserve">Zitiervorschlag: § 13 PO-SozVersFW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https://recht.nulegal.eu/gesetze/PO-SozVersFW/13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