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PO-Externe-BK (Nordrhein-Westfalen) — Prüfungsanforderungen und Prüfungsnoten</w:t>
      </w:r>
    </w:p>
    <w:p>
      <w:r>
        <w:rPr>
          <w:color w:val="555555"/>
          <w:sz w:val="18"/>
        </w:rPr>
        <w:t xml:space="preserve">Externen-Prüfungsordnung Berufskolleg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Prüfungsanforderungen in der Externenprüfung entsprechen den Richtlinien und Lehrplänen des angestrebten Abschlusses.</w:t>
      </w:r>
    </w:p>
    <w:p>
      <w:r>
        <w:t xml:space="preserve">(2) Die Prüfungsleistungen werden mit Notenstufen gemäß § 48 Abs. 3 SchulG bewertet.</w:t>
      </w:r>
    </w:p>
    <w:p>
      <w:r>
        <w:rPr>
          <w:color w:val="555555"/>
          <w:sz w:val="17"/>
        </w:rPr>
        <w:t xml:space="preserve">Zitiervorschlag: § 2 PO-Externe-BK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https://recht.nulegal.eu/gesetze/PO-Externe-BK/2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