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PO-Externe-BK (Nordrhein-Westfalen) — Geltungsbereich, Zweck der Prüfung</w:t>
      </w:r>
    </w:p>
    <w:p>
      <w:r>
        <w:rPr>
          <w:color w:val="555555"/>
          <w:sz w:val="18"/>
        </w:rPr>
        <w:t xml:space="preserve">Externen-Prüfungsordnung Berufskolleg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Allgemeine Externen-Prüfungsordnung für Bildungsgänge des Berufskollegs gilt für den Erwerb der schulischen und beruflichen Abschlüsse</w:t>
      </w:r>
    </w:p>
    <w:p>
      <w:r>
        <w:t xml:space="preserve">1. der Bildungsgänge, die zu einem Berufsabschluss nach Landesrecht in Verbindung mit dem Mittleren Schulabschluss (Fachoberschulreife) führen,</w:t>
      </w:r>
    </w:p>
    <w:p>
      <w:r>
        <w:t xml:space="preserve">2. der Bildungsgänge, die zu einem Berufsabschluss nach Landesrecht oder beruflichen Kenntnissen und der Fachhochschulreife oder dem schulischen Teil der Fachhochschulreife führen,</w:t>
      </w:r>
    </w:p>
    <w:p>
      <w:r>
        <w:t xml:space="preserve">3. der Bildungsgänge der Fachschule</w:t>
      </w:r>
    </w:p>
    <w:p>
      <w:r>
        <w:t xml:space="preserve">nach Maßgabe der Bestimmungen über die Externenprüfung in der Verordnung über die Ausbildung und Prüfung in den Bildungsgängen des Berufskollegs (APO-BK).</w:t>
      </w:r>
    </w:p>
    <w:p>
      <w:r>
        <w:rPr>
          <w:color w:val="555555"/>
          <w:sz w:val="17"/>
        </w:rPr>
        <w:t xml:space="preserve">Zitiervorschlag: § 1 PO-Externe-BK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https://recht.nulegal.eu/gesetze/PO-Externe-BK/1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