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PNUPZV — Entscheidungsberechtigte</w:t>
      </w:r>
    </w:p>
    <w:p>
      <w:r>
        <w:rPr>
          <w:color w:val="555555"/>
          <w:sz w:val="18"/>
        </w:rPr>
        <w:t xml:space="preserve">PNU-Prämien- und -Zulagenverordnung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des Postnachfolgeunternehmens entscheidet,</w:t>
      </w:r>
    </w:p>
    <w:p>
      <w:pPr>
        <w:ind w:left="420"/>
      </w:pPr>
      <w:r>
        <w:t xml:space="preserve">1. in welchem Umfang Mittel für Prämien und Zulagen zur Verfügung gestellt werden,</w:t>
      </w:r>
    </w:p>
    <w:p>
      <w:pPr>
        <w:ind w:left="420"/>
      </w:pPr>
      <w:r>
        <w:t xml:space="preserve">2. ob für eine Leistung oder einen Erfolg eine Prämie oder Zulage gewährt wird.</w:t>
      </w:r>
    </w:p>
    <w:p>
      <w:r>
        <w:t xml:space="preserve">Der Vorstand kann die Befugnis nach Satz 1 Nummer 2 auf Dienstvorgesetzte nach § 3 Absatz 1 Satz 1 des Postpersonalrechtsgesetzes übertragen. Die Dienstvorgesetzten können die Befugnis für ihre Zuständigkeitsbereiche weiter übertragen.</w:t>
      </w:r>
    </w:p>
    <w:p>
      <w:r>
        <w:rPr>
          <w:color w:val="555555"/>
          <w:sz w:val="17"/>
        </w:rPr>
        <w:t xml:space="preserve">Zitiervorschlag: § 4 PNUPZV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https://recht.nulegal.eu/gesetze/PNUPZV/4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