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PNUPZV — Prämie</w:t>
      </w:r>
    </w:p>
    <w:p>
      <w:r>
        <w:rPr>
          <w:color w:val="555555"/>
          <w:sz w:val="18"/>
        </w:rPr>
        <w:t xml:space="preserve">PNU-Prämien- und -Zulagenverordnung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Prämie wird als Einmalzahlung gewährt. Der Gesamtbetrag der Prämien, die eine Beamtin oder ein Beamter in einem Kalenderjahr erhält, darf 20 000 Euro nicht überschreiten.</w:t>
      </w:r>
    </w:p>
    <w:p>
      <w:r>
        <w:t xml:space="preserve">(2) Die Prämie kann auch in Form von Sachbezügen gewährt werden.</w:t>
      </w:r>
    </w:p>
    <w:p>
      <w:r>
        <w:rPr>
          <w:color w:val="555555"/>
          <w:sz w:val="17"/>
        </w:rPr>
        <w:t xml:space="preserve">Zitiervorschlag: § 2 PNUPZV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https://recht.nulegal.eu/gesetze/PNUPZV/2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