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PMarkG (Brandenburg)</w:t>
      </w:r>
    </w:p>
    <w:p>
      <w:r>
        <w:rPr>
          <w:color w:val="555555"/>
          <w:sz w:val="18"/>
        </w:rPr>
        <w:t xml:space="preserve">Potsdam-Mittelmark-Gesetz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durch § 7 des Kreisneugliederungsgesetzes aus</w:t>
      </w:r>
    </w:p>
    <w:p>
      <w:r>
        <w:t xml:space="preserve">den Kreisen Belzig,</w:t>
      </w:r>
    </w:p>
    <w:p>
      <w:r>
        <w:t xml:space="preserve">Brandenburg-Land und Potsdam-Land</w:t>
      </w:r>
    </w:p>
    <w:p>
      <w:r>
        <w:t xml:space="preserve">sowie den Gemeinden des Amtes Treuenbrietzen</w:t>
      </w:r>
    </w:p>
    <w:p>
      <w:r>
        <w:t xml:space="preserve">gebildete Landkreis führt den Namen "Landkreis Potsdam-Mittelmark" .</w:t>
      </w:r>
    </w:p>
    <w:p>
      <w:r>
        <w:rPr>
          <w:color w:val="555555"/>
          <w:sz w:val="17"/>
        </w:rPr>
        <w:t xml:space="preserve">Zitiervorschlag: § 1 PMarkG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https://recht.nulegal.eu/gesetze/PMarkG/1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