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PMMPrV — Ausbildereignung</w:t>
      </w:r>
    </w:p>
    <w:p>
      <w:r>
        <w:rPr>
          <w:color w:val="555555"/>
          <w:sz w:val="18"/>
        </w:rPr>
        <w:t xml:space="preserve">Verordnung über die Prüfung zum anerkannten Abschluss Geprüfter Prozessmanager - Mikrotechnologie und Geprüfte Prozessmanagerin - Mikrotechnologie (Certified Process Manager - Microtechnology)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die Prüfung nach dieser Verordnung bestanden hat, ist vom schriftlichen Teil der Prüfung der nach dem Berufsbildungsgesetz erlassenen Ausbilder-Eignungsverordnung befreit.</w:t>
      </w:r>
    </w:p>
    <w:p>
      <w:r>
        <w:t xml:space="preserve">(2) Wer dabei im Prüfungsteil "Mitarbeiterführung und Personalmanagement" für die praktische Demonstration den Anwendungsfall "Vorbereiten und Durchführen einer Ausbildungseinheit" oder "Vorbereiten und Durchführen einer Mitarbeiterqualifizierung" ausgewählt hat, hat die berufs- und arbeitspädagogische Qualifikation nach dem Berufsbildungsgesetz nachgewiesen. Hierüber ist ein Zeugnis auszustellen.</w:t>
      </w:r>
    </w:p>
    <w:p>
      <w:r>
        <w:rPr>
          <w:color w:val="555555"/>
          <w:sz w:val="17"/>
        </w:rPr>
        <w:t xml:space="preserve">Zitiervorschlag: § 8 PMMPrV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https://recht.nulegal.eu/gesetze/PMMPrV/8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