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PLGebV</w:t>
      </w:r>
    </w:p>
    <w:p>
      <w:r>
        <w:rPr>
          <w:color w:val="555555"/>
          <w:sz w:val="18"/>
        </w:rPr>
        <w:t xml:space="preserve">Post-Lizenzgebührenverordnung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Auf Grund des § 8 Satz 3 des Postgesetzes vom 22. Dezember 1997 (BGBl. I S. 3294), der durch Artikel 229 Nr. 1 der Verordnung vom 29. Oktober 2001 (BGBl. I S. 2785) geändert worden ist, in Verbindung mit dem 2. Abschnitt des Verwaltungskostengesetzes vom 23. Juni 1970 (BGBl. I S. 821) verordnet das Bundesministerium für Wirtschaft und Technologie im Einvernehmen mit dem Bundesministerium des Innern, dem Bundesministerium der Finanzen und dem Bundesministerium der Justiz:</w:t>
      </w:r>
    </w:p>
    <w:p>
      <w:r>
        <w:rPr>
          <w:color w:val="555555"/>
          <w:sz w:val="17"/>
        </w:rPr>
        <w:t xml:space="preserve">Zitiervorschlag: Eingangsformel PLGebV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https://recht.nulegal.eu/gesetze/PLGebV/eingangsformel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