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PLGebV — Inkrafttreten</w:t>
      </w:r>
    </w:p>
    <w:p>
      <w:r>
        <w:rPr>
          <w:color w:val="555555"/>
          <w:sz w:val="18"/>
        </w:rPr>
        <w:t xml:space="preserve">Post-Lizenzgebührenverordnung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Diese Verordnung tritt mit Wirkung vom 1. Januar 1998 in Kraft.</w:t>
      </w:r>
    </w:p>
    <w:p>
      <w:r>
        <w:rPr>
          <w:color w:val="555555"/>
          <w:sz w:val="17"/>
        </w:rPr>
        <w:t xml:space="preserve">Zitiervorschlag: § 4 PLGebV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https://recht.nulegal.eu/gesetze/PLGebV/4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