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PLGebV — Anrechnung von Auslagen</w:t>
      </w:r>
    </w:p>
    <w:p>
      <w:r>
        <w:rPr>
          <w:color w:val="555555"/>
          <w:sz w:val="18"/>
        </w:rPr>
        <w:t xml:space="preserve">Post-Lizenzgebührenverordnung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Auslagen sind in die Gebühren einbezogen.</w:t>
      </w:r>
    </w:p>
    <w:p>
      <w:r>
        <w:rPr>
          <w:color w:val="555555"/>
          <w:sz w:val="17"/>
        </w:rPr>
        <w:t xml:space="preserve">Zitiervorschlag: § 3 PLGebV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