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PLGebV — Gebührenhöhe</w:t>
      </w:r>
    </w:p>
    <w:p>
      <w:r>
        <w:rPr>
          <w:color w:val="555555"/>
          <w:sz w:val="18"/>
        </w:rPr>
        <w:t xml:space="preserve">Post-Lizenzgebührenverordnung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 für die Erteilung einer Lizenz zur Beförderung von Briefsendungen beträgt mindestens 175 Euro und höchstens 700 Euro.</w:t>
      </w:r>
    </w:p>
    <w:p>
      <w:r>
        <w:t xml:space="preserve">(2) Die Gebühr für die Zustimmung zur Übertragung einer Lizenz beträgt 50 Prozent der nach Absatz 1 festgesetzten Gebühr.</w:t>
      </w:r>
    </w:p>
    <w:p>
      <w:r>
        <w:rPr>
          <w:color w:val="555555"/>
          <w:sz w:val="17"/>
        </w:rPr>
        <w:t xml:space="preserve">Zitiervorschlag: § 2 PLGebV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