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PKHFV</w:t>
      </w:r>
    </w:p>
    <w:p>
      <w:r>
        <w:rPr>
          <w:color w:val="555555"/>
          <w:sz w:val="18"/>
        </w:rPr>
        <w:t xml:space="preserve">Prozesskostenhilfeformularverordnung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verordnen auf Grund</w:t>
      </w:r>
    </w:p>
    <w:p>
      <w:pPr>
        <w:ind w:left="420"/>
      </w:pPr>
      <w:r>
        <w:t xml:space="preserve">– des § 117 Absatz 3 der Zivilprozessordnung, der zuletzt durch Artikel 1 Nummer 5 des Gesetzes vom 31. August 2013 (BGBl. I S. 3533) geändert worden ist, in Verbindung mit § 1 Absatz 2 des Zuständigkeitsanpassungsgesetzes vom 16. August 2002 (BGBl. I S. 3165) und dem Organisationserlass vom 17. Dezember 2013 (BGBl. I S. 4310) das Bundesministerium der Justiz und für Verbraucherschutz und</w:t>
      </w:r>
    </w:p>
    <w:p>
      <w:pPr>
        <w:ind w:left="420"/>
      </w:pPr>
      <w:r>
        <w:t xml:space="preserve">– des § 11a Absatz 2 des Arbeitsgerichtsgesetzes, der zuletzt durch Artikel 7 Nummer 2 des Gesetzes vom 31. August 2013 (BGBl. I S. 3533) geändert worden ist, das Bundesministerium für Arbeit und Soziales:</w:t>
      </w:r>
    </w:p>
    <w:p>
      <w:r>
        <w:rPr>
          <w:color w:val="555555"/>
          <w:sz w:val="17"/>
        </w:rPr>
        <w:t xml:space="preserve">Zitiervorschlag: Eingangsformel PKHFV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https://recht.nulegal.eu/gesetze/PKHFV/eingangsformel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