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PKHFV — Inkrafttreten, Außerkrafttreten</w:t>
      </w:r>
    </w:p>
    <w:p>
      <w:r>
        <w:rPr>
          <w:color w:val="555555"/>
          <w:sz w:val="18"/>
        </w:rPr>
        <w:t xml:space="preserve">Prozesskostenhilfeformularverordnung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Prozesskostenhilfevordruckverordnung vom 17. Oktober 1994 (BGBl. I S. 3001), die zuletzt durch Artikel 36 des Gesetzes vom 27. Dezember 2003 (BGBl. I S. 3022) geändert worden ist, außer Kraft.</w:t>
      </w:r>
    </w:p>
    <w:p>
      <w:r>
        <w:rPr>
          <w:color w:val="555555"/>
          <w:sz w:val="17"/>
        </w:rPr>
        <w:t xml:space="preserve">Zitiervorschlag: § 4 PKHFV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https://recht.nulegal.eu/gesetze/PKHFV/4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