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PKHFV — Formular</w:t>
      </w:r>
    </w:p>
    <w:p>
      <w:r>
        <w:rPr>
          <w:color w:val="555555"/>
          <w:sz w:val="18"/>
        </w:rPr>
        <w:t xml:space="preserve">Prozesskostenhilfeformularverordnung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Erklärung der Partei über ihre persönlichen und wirtschaftlichen Verhältnisse nach § 117 Absatz 2 Satz 1 oder nach § 120a Absatz 1 Satz 3 der Zivilprozessordnung ist das in der Anlage bestimmte Formular zu verwenden.</w:t>
      </w:r>
    </w:p>
    <w:p>
      <w:r>
        <w:t xml:space="preserve">(2) Absatz 1 gilt nicht für die Erklärung einer Partei kraft Amtes, einer juristischen Person oder einer parteifähigen Vereinigung.</w:t>
      </w:r>
    </w:p>
    <w:p>
      <w:r>
        <w:rPr>
          <w:color w:val="555555"/>
          <w:sz w:val="17"/>
        </w:rPr>
        <w:t xml:space="preserve">Zitiervorschlag: § 1 PKHFV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https://recht.nulegal.eu/gesetze/PKHFV/1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