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PKHB 2021</w:t>
      </w:r>
    </w:p>
    <w:p>
      <w:r>
        <w:rPr>
          <w:color w:val="555555"/>
          <w:sz w:val="18"/>
        </w:rPr>
        <w:t xml:space="preserve">Prozesskostenhilfebekanntmachung 2021</w:t>
      </w:r>
    </w:p>
    <w:p>
      <w:r>
        <w:rPr>
          <w:color w:val="555555"/>
          <w:sz w:val="18"/>
        </w:rPr>
        <w:t xml:space="preserve">Stand: 31.12.2020 (konsolidierte Textfassung, kein amtliches Inkrafttretensdatum)</w:t>
      </w:r>
    </w:p>
    <w:p>
      <w:r>
        <w:t xml:space="preserve">Auf Grund des § 115 Absatz 1 Satz 6 der Zivilprozessordnung, der zuletzt durch Artikel 10 Nummer 3 des Gesetzes vom 21. Dezember 2020 (BGBl. I S. 3229) geändert worden ist, werden die ab dem 1. Januar 2021 maßgebenden Beträge, die nach § 115 Absatz 1 Satz 3 Nummer 1 Buchstabe b und Nummer 2 sowie Satz 5 der Zivilprozessordnung vom Einkommen der Partei abzusetzen sind, bekannt gemacht:</w:t>
      </w:r>
    </w:p>
    <w:p>
      <w:r>
        <w:rPr>
          <w:rFonts w:ascii="Courier New" w:hAnsi="Courier New"/>
          <w:sz w:val="17"/>
        </w:rPr>
        <w:t xml:space="preserve">    Freibetrag Bund    Freibetragin den LandkreisenFürstenfeldbruckund Starnberg    Freibetragim LandkreisMünchen    Freibetragin derLandeshauptstadtMünchen</w:t>
      </w:r>
    </w:p>
    <w:p>
      <w:r>
        <w:rPr>
          <w:rFonts w:ascii="Courier New" w:hAnsi="Courier New"/>
          <w:sz w:val="17"/>
        </w:rPr>
        <w:t xml:space="preserve">Parteien, die ein Einkommen ausErwerbstätigkeit erzielen(§ 115 Absatz 1 Satz 3 Nummer 1 Buchstabe b der Zivilprozessordnung)    223 Euro    235 Euro    235 Euro    234 Euro</w:t>
      </w:r>
    </w:p>
    <w:p>
      <w:r>
        <w:rPr>
          <w:rFonts w:ascii="Courier New" w:hAnsi="Courier New"/>
          <w:sz w:val="17"/>
        </w:rPr>
        <w:t xml:space="preserve">Partei, Ehegatte oder Lebenspartner(§ 115 Absatz 1 Satz 3 Nummer 2 Buchstabe a der Zivilprozessordnung)    491 Euro    516 Euro    517 Euro    515 Euro</w:t>
      </w:r>
    </w:p>
    <w:p>
      <w:r>
        <w:rPr>
          <w:rFonts w:ascii="Courier New" w:hAnsi="Courier New"/>
          <w:sz w:val="17"/>
        </w:rPr>
        <w:t xml:space="preserve">Freibetrag für unterhaltsberechtigteErwachsene(§ 115 Absatz 1 Satz 3 Nummer 2 Buchstabe b der ZivilprozessordnungRegelbedarfsstufe 3)    393 Euro    414 Euro    414 Euro    411 Euro</w:t>
      </w:r>
    </w:p>
    <w:p>
      <w:r>
        <w:rPr>
          <w:rFonts w:ascii="Courier New" w:hAnsi="Courier New"/>
          <w:sz w:val="17"/>
        </w:rPr>
        <w:t xml:space="preserve">Freibetrag für unterhaltsberechtigte Jugendliche vom Beginn des 15. biszur Vollendung des 18. Lebensjahres(§ 115 Absatz 1 Satz 3 Nummer 2 Buchstabe b der ZivilprozessordnungRegelbedarfsstufe 4)    410 Euro    430 Euro    432 Euro    429 Euro</w:t>
      </w:r>
    </w:p>
    <w:p>
      <w:r>
        <w:rPr>
          <w:rFonts w:ascii="Courier New" w:hAnsi="Courier New"/>
          <w:sz w:val="17"/>
        </w:rPr>
        <w:t xml:space="preserve">Freibetrag für unterhaltsberechtigte Kinder vom Beginn des siebten biszur Vollendung des 14. Lebensjahres(§ 115 Absatz 1 Satz 3 Nummer 2 Buchstabe b der ZivilprozessordnungRegelbedarfsstufe 5)    340 Euro    353 Euro    359 Euro    353 Euro</w:t>
      </w:r>
    </w:p>
    <w:p>
      <w:r>
        <w:rPr>
          <w:rFonts w:ascii="Courier New" w:hAnsi="Courier New"/>
          <w:sz w:val="17"/>
        </w:rPr>
        <w:t xml:space="preserve">Freibetrag für unterhaltsberechtigte Kinder bis zur Vollendung dessechsten Lebensjahres(§ 115 Absatz 1 Satz 3 Nummer 2 Buchstabe b der ZivilprozessordnungRegelbedarfsstufe 6)    311 Euro    325 Euro    328 Euro    323 Euro</w:t>
      </w:r>
    </w:p>
    <w:p>
      <w:r>
        <w:rPr>
          <w:color w:val="555555"/>
          <w:sz w:val="17"/>
        </w:rPr>
        <w:t xml:space="preserve">Zitiervorschlag: (XXXX) PKHB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https://recht.nulegal.eu/gesetze/PKHB%202021/(xxxx)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PKHB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