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PKGrG — Pflicht der Bundesregierung zur Unterrichtung</w:t>
      </w:r>
    </w:p>
    <w:p>
      <w:r>
        <w:rPr>
          <w:color w:val="555555"/>
          <w:sz w:val="18"/>
        </w:rPr>
        <w:t xml:space="preserve">Kontrollgremiumgesetz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unterrichtet das Parlamentarische Kontrollgremium umfassend über die allgemeine Tätigkeit der in § 1 Absatz 1 genannten Behörden und über Vorgänge von besonderer Bedeutung. Vorgänge von besonderer Bedeutung sind insbesondere</w:t>
      </w:r>
    </w:p>
    <w:p>
      <w:pPr>
        <w:ind w:left="420"/>
      </w:pPr>
      <w:r>
        <w:t xml:space="preserve">1. wesentliche Änderungen im Lagebild der äußeren und inneren Sicherheit,</w:t>
      </w:r>
    </w:p>
    <w:p>
      <w:pPr>
        <w:ind w:left="420"/>
      </w:pPr>
      <w:r>
        <w:t xml:space="preserve">2. behördeninterne Vorgänge mit erheblichen Auswirkungen auf die Aufgabenerfüllung,</w:t>
      </w:r>
    </w:p>
    <w:p>
      <w:pPr>
        <w:ind w:left="420"/>
      </w:pPr>
      <w:r>
        <w:t xml:space="preserve">3. Einzelvorkommnisse, die Gegenstand politischer Diskussionen oder öffentlicher Berichterstattung sind.</w:t>
      </w:r>
    </w:p>
    <w:p>
      <w:r>
        <w:t xml:space="preserve">Auf Verlangen des Parlamentarischen Kontrollgremiums hat die Bundesregierung auch über sonstige Vorgänge zu berichten.</w:t>
      </w:r>
    </w:p>
    <w:p>
      <w:r>
        <w:t xml:space="preserve">(2) Die politische Verantwortung der Bundesregierung für die in § 1 genannten Behörden bleibt unberührt.</w:t>
      </w:r>
    </w:p>
    <w:p>
      <w:r>
        <w:rPr>
          <w:color w:val="555555"/>
          <w:sz w:val="17"/>
        </w:rPr>
        <w:t xml:space="preserve">Zitiervorschlag: § 4 PKGrG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