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12a PKGrG — Übergangsregelung</w:t>
      </w:r>
    </w:p>
    <w:p>
      <w:r>
        <w:rPr>
          <w:color w:val="555555"/>
          <w:sz w:val="18"/>
        </w:rPr>
        <w:t xml:space="preserve">Kontrollgremiumgesetz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Bei der Berechnung der Amtszeit nach § 5b Absatz 1 Satz 1 ist der bisher in dem Amt als die oder der Ständige Bevollmächtigte in einem öffentlich-rechtlichen Amtsverhältnis verbrachte Zeitraum anzurechnen.</w:t>
      </w:r>
    </w:p>
    <w:p>
      <w:r>
        <w:rPr>
          <w:color w:val="555555"/>
          <w:sz w:val="17"/>
        </w:rPr>
        <w:t xml:space="preserve">Zitiervorschlag: § 12a PKGrG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https://recht.nulegal.eu/gesetze/PKGrG/12a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