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PKGrG — Kontrollrahmen</w:t>
      </w:r>
    </w:p>
    <w:p>
      <w:r>
        <w:rPr>
          <w:color w:val="555555"/>
          <w:sz w:val="18"/>
        </w:rPr>
        <w:t xml:space="preserve">Kontrollgremiumgesetz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unterliegt hinsichtlich der Tätigkeit des Bundesamtes für Verfassungsschutz, des Militärischen Abschirmdienstes und des Bundesnachrichtendienstes der Kontrolle durch das Parlamentarische Kontrollgremium.</w:t>
      </w:r>
    </w:p>
    <w:p>
      <w:r>
        <w:t xml:space="preserve">(2) Die Rechte des Deutschen Bundestages, seiner Ausschüsse und der Kommission nach dem Artikel 10-Gesetz bleiben unberührt.</w:t>
      </w:r>
    </w:p>
    <w:p>
      <w:r>
        <w:rPr>
          <w:color w:val="555555"/>
          <w:sz w:val="17"/>
        </w:rPr>
        <w:t xml:space="preserve">Zitiervorschlag: § 1 PKGrG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https://recht.nulegal.eu/gesetze/PKGrG/1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