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PKGG (Bayern) — Befugnisse des Kontrollgremiums</w:t>
      </w:r>
    </w:p>
    <w:p>
      <w:r>
        <w:rPr>
          <w:color w:val="555555"/>
          <w:sz w:val="18"/>
        </w:rPr>
        <w:t xml:space="preserve">Parlamentarisches Kontrollgremium-Gesetz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Parlamentarische Kontrollgremium kann von der Staatsregierung verlangen,</w:t>
      </w:r>
    </w:p>
    <w:p>
      <w:r>
        <w:t xml:space="preserve">1. im Rahmen der Unterrichtung der Staatsregierung Einsicht in Akten, Schriftstücke und Dateien des Landesamts für Verfassungsschutz zu erhalten,</w:t>
      </w:r>
    </w:p>
    <w:p>
      <w:r>
        <w:t xml:space="preserve">2. im Rahmen der Unterrichtung der Staatsregierung Einsicht in Akten, Schriftstücke und Dateien der Staatsregierung zu erhalten, die die Tätigkeit des Landesamts für Verfassungsschutz betreffen, und</w:t>
      </w:r>
    </w:p>
    <w:p>
      <w:r>
        <w:t xml:space="preserve">3. Zutritt zu den Dienststellen des Landesamts für Verfassungsschutz zu erhalten.</w:t>
      </w:r>
    </w:p>
    <w:p>
      <w:r>
        <w:t xml:space="preserve">(2) Das Parlamentarische Kontrollgremium kann nach Unterrichtung der Staatsregierung</w:t>
      </w:r>
    </w:p>
    <w:p>
      <w:r>
        <w:t xml:space="preserve">1. Angehörige des Landesamts für Verfassungsschutz,</w:t>
      </w:r>
    </w:p>
    <w:p>
      <w:r>
        <w:t xml:space="preserve">2. für die Tätigkeit des Landesamts für Verfassungsschutz zuständige Mitglieder der Staatsregierung und</w:t>
      </w:r>
    </w:p>
    <w:p>
      <w:r>
        <w:t xml:space="preserve">3. mit der Tätigkeit des Landesamts für Verfassungsschutz befasste Mitarbeiter von Mitgliedern der Staatsregierung</w:t>
      </w:r>
    </w:p>
    <w:p>
      <w:r>
        <w:t xml:space="preserve">befragen. Die zu befragenden Personen sind verpflichtet, vollständige und wahrheitsgemäße Angaben zu machen.</w:t>
      </w:r>
    </w:p>
    <w:p>
      <w:r>
        <w:t xml:space="preserve">(3) Den Verlangen des Parlamentarischen Kontrollgremiums hat die Staatsregierung unverzüglich zu entsprechen.</w:t>
      </w:r>
    </w:p>
    <w:p>
      <w:r>
        <w:rPr>
          <w:color w:val="555555"/>
          <w:sz w:val="17"/>
        </w:rPr>
        <w:t xml:space="preserve">Zitiervorschlag: Art 5 PKGG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