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PKDBV — Feststellung der Satzung</w:t>
      </w:r>
    </w:p>
    <w:p>
      <w:r>
        <w:rPr>
          <w:color w:val="555555"/>
          <w:sz w:val="18"/>
        </w:rPr>
        <w:t xml:space="preserve">Verordnung über die Feststellung der Satzung der Pensionskasse Deutscher Eisenbahnen und Straßenbahnen VVaG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Pensionskasse Deutscher Eisenbahnen und Straßenbahnen VVaG (Pensionskasse) hat die nachstehend veröffentlichte Satzung (Satzung im Sinn des § 173 Absatz 1 des Versicherungsaufsichtsgesetzes).</w:t>
      </w:r>
    </w:p>
    <w:p>
      <w:r>
        <w:rPr>
          <w:color w:val="555555"/>
          <w:sz w:val="17"/>
        </w:rPr>
        <w:t xml:space="preserve">Zitiervorschlag: § 1 PKDBV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