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PKDBSa — Versicherungsberechtigung</w:t>
      </w:r>
    </w:p>
    <w:p>
      <w:r>
        <w:rPr>
          <w:color w:val="555555"/>
          <w:sz w:val="18"/>
        </w:rPr>
        <w:t xml:space="preserve">Satzung der Pensionskasse Deutscher Eisenbahnen und Straßenbahnen VVaG Köln (Anlage zur Verordnung über die Feststellung der Satzung der Pensionskasse Deutscher Eisenbahnen und Straßenbahnen VVaG)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Kasse können außerdem zugeführt werden</w:t>
      </w:r>
    </w:p>
    <w:p>
      <w:pPr>
        <w:ind w:left="420"/>
      </w:pPr>
      <w:r>
        <w:t xml:space="preserve">a) die hauptamtlichen Vorstandsmitglieder und Geschäftsführer der Arbeitgeber,</w:t>
      </w:r>
    </w:p>
    <w:p>
      <w:pPr>
        <w:ind w:left="420"/>
      </w:pPr>
      <w:r>
        <w:t xml:space="preserve">b) die Arbeitnehmer der Kasse,</w:t>
      </w:r>
    </w:p>
    <w:p>
      <w:pPr>
        <w:ind w:left="420"/>
      </w:pPr>
      <w:r>
        <w:t xml:space="preserve">c) die Arbeitnehmer der für die beteiligten Arbeitgeber tätigen Verbände.</w:t>
      </w:r>
    </w:p>
    <w:p>
      <w:r>
        <w:t xml:space="preserve">Soweit Arbeitnehmer der Kasse oder von Verbänden versichert werden, haben die Kasse oder der Verband für diese Versicherungsverhältnisse die Rechte und Pflichten eines beteiligten Arbeitgebers.</w:t>
      </w:r>
    </w:p>
    <w:p>
      <w:r>
        <w:rPr>
          <w:color w:val="555555"/>
          <w:sz w:val="17"/>
        </w:rPr>
        <w:t xml:space="preserve">Zitiervorschlag: § 8 PKDBSa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https://recht.nulegal.eu/gesetze/PKDBSa/8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