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PKDBSa — Berufungsentscheidung, Klagefrist</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Entscheidungen des Kuratoriums sind schriftlich auszufertigen und von dem Kuratoriumsvorsitzenden oder seinem Stellvertreter zu unterzeichnen. Die Entscheidungen des Kuratoriums können auch im Auftrage des Kuratoriumsvorsitzenden von dem Vorstande mitgeteilt werden. Für die Zustellung gelten die Vorschriften des § 64 Abs. 1. Die Entscheidungen sind zu begründen.</w:t>
      </w:r>
    </w:p>
    <w:p>
      <w:r>
        <w:t xml:space="preserve">(2) Gegen diese Entscheidungen ist der ordentliche Rechtsweg binnen einer Ausschlussfrist von sechs Monaten seit der Zustellung des Bescheides zulässig. Zur Vermeidung von Rechtsstreitigkeiten kann das Kuratorium in geeigneten Fällen die Ausschlussfrist ausnahmsweise verlängern. Wird binnen dieser Frist keine Klage erhoben, so ist die Entscheidung rechtskräftig.</w:t>
      </w:r>
    </w:p>
    <w:p>
      <w:r>
        <w:rPr>
          <w:color w:val="555555"/>
          <w:sz w:val="17"/>
        </w:rPr>
        <w:t xml:space="preserve">Zitiervorschlag: § 65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