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PKDBSa — Berufung oder Klage</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Entscheidungen der Kasse, durch die ein klagbarer Anspruch anerkannt oder abgelehnt wird, müssen schriftlich unter Angabe der mit dem Ablauf der Ausschlussfrist eintretenden Rechtsfolge abgefasst und dem Antragsteller gegen Empfangsbescheinigung zugestellt werden.</w:t>
      </w:r>
    </w:p>
    <w:p>
      <w:r>
        <w:t xml:space="preserve">(2) Gegen diese Entscheidungen ist die Berufung an das Kuratorium zulässig. Die Berufung ist binnen einer Ausschlussfrist von sechs Monaten seit der Zustellung der Entscheidung bei der Kasse einzureichen. Geht binnen dieser Frist keine Berufung bei der Kasse ein und wird binnen dieser Frist der Anspruch auf die Leistung auch nicht gerichtlich geltend gemacht, so ist die Entscheidung rechtskräftig.</w:t>
      </w:r>
    </w:p>
    <w:p>
      <w:r>
        <w:rPr>
          <w:color w:val="555555"/>
          <w:sz w:val="17"/>
        </w:rPr>
        <w:t xml:space="preserve">Zitiervorschlag: § 64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