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PKDBSa — Abrechnungsverfahren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Abrechnungsverfahren regelt der Vorstand der Kasse. Die Abrechnungssalden sind unverzüglich auszugleichen; bei Verzug sind Verzugszinsen von 6 v. H. zu entrichten.</w:t>
      </w:r>
    </w:p>
    <w:p>
      <w:r>
        <w:t xml:space="preserve">(2) Auf die Abrechnung sind auf Antrag des Abrechnungsgläubigers von dem Abrechnungsschuldner monatliche Vorschüsse in ungefährer Höhe des Abrechnungssaldos zu zahlen.</w:t>
      </w:r>
    </w:p>
    <w:p>
      <w:r>
        <w:rPr>
          <w:color w:val="555555"/>
          <w:sz w:val="17"/>
        </w:rPr>
        <w:t xml:space="preserve">Zitiervorschlag: § 63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