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PKDBSa — Erfüllungsort und Gerichtsstand</w:t>
      </w:r>
    </w:p>
    <w:p>
      <w:r>
        <w:rPr>
          <w:color w:val="555555"/>
          <w:sz w:val="18"/>
        </w:rPr>
        <w:t xml:space="preserve">Satzung der Pensionskasse Deutscher Eisenbahnen und Straßenbahnen VVaG Köln (Anlage zur Verordnung über die Feststellung der Satzung der Pensionskasse Deutscher Eisenbahnen und Straßenbahnen VVaG)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Erfüllungsort und Gerichtsstand für alle Beitrags- und Erstattungsforderungen sowie für alle Kassenleistungen ist Köln.</w:t>
      </w:r>
    </w:p>
    <w:p>
      <w:r>
        <w:rPr>
          <w:color w:val="555555"/>
          <w:sz w:val="17"/>
        </w:rPr>
        <w:t xml:space="preserve">Zitiervorschlag: § 61 PKDBSa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https://recht.nulegal.eu/gesetze/PKDBSa/61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