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PKDBSa — Jahresabschluss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Rechnungsjahr der Kasse ist das Kalenderjahr.</w:t>
      </w:r>
    </w:p>
    <w:p>
      <w:r>
        <w:t xml:space="preserve">(2) Der Vorstand hat den Jahresabschluss und Lagebericht gemäß den gesetzlichen Bestimmungen und den Anordnungen der Aufsichtsbehörde aufzustellen.</w:t>
      </w:r>
    </w:p>
    <w:p>
      <w:r>
        <w:t xml:space="preserve">(3) Der Jahresabschluss der Kasse ist vor seiner Vorlage an das Kuratorium durch einen Wirtschaftsprüfer zu prüfen. Der Prüfer wird vom Kuratorium bestimmt; der vom Kuratorium bestimmte Prüfer ist der Aufsichtsbehörde unverzüglich anzuzeigen; wird von der Aufsichtsbehörde binnen eines Monats nach Eingang der Prüferanzeige keine gegenteilige Äußerung abgegeben, wird der Prüfungsauftrag erteilt.</w:t>
      </w:r>
    </w:p>
    <w:p>
      <w:r>
        <w:rPr>
          <w:color w:val="555555"/>
          <w:sz w:val="17"/>
        </w:rPr>
        <w:t xml:space="preserve">Zitiervorschlag: § 58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