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55a PKDBSa — Rücklage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Kasse hat zur Deckung eines außergewöhnlichen Verlustes aus dem Geschäftsbetrieb eine Rücklage (Verlustrücklage) gemäß § 37 Versicherungsaufsichtsgesetz zu bilden.</w:t>
      </w:r>
    </w:p>
    <w:p>
      <w:r>
        <w:t xml:space="preserve">(2) Der Mindestbetrag der Verlustrücklage beläuft sich</w:t>
      </w:r>
    </w:p>
    <w:p>
      <w:pPr>
        <w:ind w:left="420"/>
      </w:pPr>
      <w:r>
        <w:t xml:space="preserve">a) zum 31. Dezember 2004 auf 2 v. H. der Deckungsrückstellung,</w:t>
      </w:r>
    </w:p>
    <w:p>
      <w:pPr>
        <w:ind w:left="420"/>
      </w:pPr>
      <w:r>
        <w:t xml:space="preserve">b) ab dem 31. Dezember 2007 auf mindestens 4,5 v. H. der Deckungsrückstellung.</w:t>
      </w:r>
    </w:p>
    <w:p>
      <w:r>
        <w:rPr>
          <w:color w:val="555555"/>
          <w:sz w:val="17"/>
        </w:rPr>
        <w:t xml:space="preserve">Zitiervorschlag: § 55a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https://recht.nulegal.eu/gesetze/PKDBSa/55a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