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PKDBSa — Rechnungsführung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 weist die Einnahmen und Ausgaben der Abteilungen A, A 2000 und Z 2002 nach Maßgabe der geltenden Bestimmungen gesondert aus.</w:t>
      </w:r>
    </w:p>
    <w:p>
      <w:r>
        <w:t xml:space="preserve">(2) Die Kasse kann Versicherungsbestände, die sie gemäß § 3 Abs. 2 übernimmt, in besonderen Abteilungen zusammenfassen; in diesem Fall sind die Einnahmen und Ausgaben der Abteilung gesondert auszuweisen.</w:t>
      </w:r>
    </w:p>
    <w:p>
      <w:r>
        <w:rPr>
          <w:color w:val="555555"/>
          <w:sz w:val="17"/>
        </w:rPr>
        <w:t xml:space="preserve">Zitiervorschlag: § 55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