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PKDBSa — Aufwandsentschädigungen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Ämter der Kuratoriumsmitglieder, der Arbeitnehmervertretungen sowie der Vertreter in der Hauptversammlung sind unbesoldete Ehrenämter.</w:t>
      </w:r>
    </w:p>
    <w:p>
      <w:r>
        <w:t xml:space="preserve">(2) Die Mitglieder des Kuratoriums werden für ihren Aufwand bei der Teilnahme an den Sitzungen nach den von der Hauptversammlung bestimmten Sätzen entschädigt. Der Vorsitzende des Kuratoriums und dessen Stellvertreter erhalten außerdem für die Wahrnehmung der laufenden Geschäfte eine Aufwandsentschädigung. Den Vertretern der Arbeitnehmer zu der Hauptversammlung sind Tagegelder und, soweit sie nicht freie Fahrt haben, Reisekosten von ihren Arbeitgebern nach den bei ihnen geltenden Bestimmungen zu gewähren.</w:t>
      </w:r>
    </w:p>
    <w:p>
      <w:r>
        <w:rPr>
          <w:color w:val="555555"/>
          <w:sz w:val="17"/>
        </w:rPr>
        <w:t xml:space="preserve">Zitiervorschlag: § 54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